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485C59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за 2019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</w:t>
      </w:r>
      <w:r w:rsidR="00485C59">
        <w:rPr>
          <w:rFonts w:ascii="Times New Roman" w:hAnsi="Times New Roman" w:cs="Times New Roman"/>
          <w:sz w:val="28"/>
          <w:szCs w:val="28"/>
        </w:rPr>
        <w:t>2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>е - сельское поселение Верхняя Орлянка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17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17 по Самарской области № 5-МН «О налоговой базе и структуре начислений по местным налогам» за 2019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2019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2019 году на территории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485C59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</w:t>
      </w:r>
      <w:r w:rsidR="00485C59">
        <w:rPr>
          <w:rFonts w:ascii="Times New Roman" w:hAnsi="Times New Roman" w:cs="Times New Roman"/>
          <w:sz w:val="28"/>
          <w:szCs w:val="28"/>
        </w:rPr>
        <w:t>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31FF">
        <w:rPr>
          <w:rFonts w:ascii="Times New Roman" w:hAnsi="Times New Roman" w:cs="Times New Roman"/>
          <w:sz w:val="28"/>
          <w:szCs w:val="28"/>
        </w:rPr>
        <w:t>Верхняя Орлянка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Налоговой льготой в 2019 году могли воспользоваться – </w:t>
      </w:r>
      <w:r w:rsidR="00A031FF">
        <w:rPr>
          <w:rFonts w:ascii="Times New Roman" w:hAnsi="Times New Roman" w:cs="Times New Roman"/>
          <w:sz w:val="28"/>
          <w:szCs w:val="28"/>
        </w:rPr>
        <w:t>757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31F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2019 год составила </w:t>
      </w:r>
      <w:r w:rsidR="00082BA9">
        <w:rPr>
          <w:rFonts w:ascii="Times New Roman" w:hAnsi="Times New Roman" w:cs="Times New Roman"/>
          <w:sz w:val="28"/>
          <w:szCs w:val="28"/>
        </w:rPr>
        <w:t>53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2E1869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объем налоговых расходов в 2019 году приходится на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налоговые рас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представлены налоговыми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льготами по земельному налогу для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пенсионеров</w:t>
      </w:r>
      <w:r w:rsidR="00082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инвалидов</w:t>
      </w:r>
      <w:r w:rsidR="00E139E8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(составляет 100 %)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Весь объем налоговых расходов в 2019 годах приходится на социальные налоговые расходы (100%), которые представлены налоговыми льготами по земельному налогу</w:t>
      </w:r>
      <w:r w:rsidR="006C6045">
        <w:rPr>
          <w:rFonts w:ascii="Times New Roman" w:eastAsia="Times New Roman" w:hAnsi="Times New Roman" w:cs="Times New Roman"/>
          <w:sz w:val="28"/>
          <w:szCs w:val="28"/>
        </w:rPr>
        <w:t xml:space="preserve"> пенсионерам</w:t>
      </w:r>
      <w:r w:rsidR="00082BA9">
        <w:rPr>
          <w:rFonts w:ascii="Times New Roman" w:eastAsia="Times New Roman" w:hAnsi="Times New Roman" w:cs="Times New Roman"/>
          <w:sz w:val="28"/>
          <w:szCs w:val="28"/>
        </w:rPr>
        <w:t xml:space="preserve"> и инвалидам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E139E8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Стимулирующие и т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ехнические налоговые расходы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, целью применения – которых является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развития инвестиционной деятельности и 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>оптимизация встречных бюджетны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х финансовых потоков, отсутствую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082BA9" w:rsidRPr="00082BA9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2019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 xml:space="preserve">оспользовавшейся данной льготой по следующим категориям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налогоплательщиков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ети-сироты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2017-2019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5" w:type="dxa"/>
        <w:tblLook w:val="04A0"/>
      </w:tblPr>
      <w:tblGrid>
        <w:gridCol w:w="3794"/>
        <w:gridCol w:w="1985"/>
        <w:gridCol w:w="1843"/>
        <w:gridCol w:w="1843"/>
      </w:tblGrid>
      <w:tr w:rsidR="002E1869" w:rsidRPr="00D83627" w:rsidTr="005146F5">
        <w:tc>
          <w:tcPr>
            <w:tcW w:w="3794" w:type="dxa"/>
          </w:tcPr>
          <w:p w:rsidR="002E1869" w:rsidRPr="00D83627" w:rsidRDefault="002E1869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</w:tcPr>
          <w:p w:rsidR="002E1869" w:rsidRPr="00D83627" w:rsidRDefault="002E1869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3579" w:rsidRPr="00D836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E1869" w:rsidRPr="00D83627" w:rsidRDefault="00953579" w:rsidP="002A7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E1869"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2E1869" w:rsidRPr="00D83627" w:rsidRDefault="002E1869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3579" w:rsidRPr="00D836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1869" w:rsidRPr="00D83627" w:rsidTr="005146F5">
        <w:tc>
          <w:tcPr>
            <w:tcW w:w="3794" w:type="dxa"/>
          </w:tcPr>
          <w:p w:rsidR="002E1869" w:rsidRPr="00D83627" w:rsidRDefault="002E1869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985" w:type="dxa"/>
            <w:vAlign w:val="center"/>
          </w:tcPr>
          <w:p w:rsidR="002E1869" w:rsidRPr="00D83627" w:rsidRDefault="00082BA9" w:rsidP="002A7186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  <w:vAlign w:val="center"/>
          </w:tcPr>
          <w:p w:rsidR="002E1869" w:rsidRPr="00D83627" w:rsidRDefault="00082BA9" w:rsidP="002A7186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2E1869" w:rsidRPr="00D83627" w:rsidRDefault="00082BA9" w:rsidP="002A7186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2E1869" w:rsidRPr="00D83627" w:rsidTr="005146F5">
        <w:tc>
          <w:tcPr>
            <w:tcW w:w="3794" w:type="dxa"/>
          </w:tcPr>
          <w:p w:rsidR="002E1869" w:rsidRPr="00D83627" w:rsidRDefault="002E1869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85" w:type="dxa"/>
            <w:vAlign w:val="center"/>
          </w:tcPr>
          <w:p w:rsidR="002E1869" w:rsidRPr="00D83627" w:rsidRDefault="00082BA9" w:rsidP="002A7186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843" w:type="dxa"/>
            <w:vAlign w:val="center"/>
          </w:tcPr>
          <w:p w:rsidR="002E1869" w:rsidRPr="00D83627" w:rsidRDefault="00082BA9" w:rsidP="002A7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316</w:t>
            </w:r>
          </w:p>
        </w:tc>
        <w:tc>
          <w:tcPr>
            <w:tcW w:w="1843" w:type="dxa"/>
            <w:vAlign w:val="center"/>
          </w:tcPr>
          <w:p w:rsidR="002E1869" w:rsidRPr="00D83627" w:rsidRDefault="00082BA9" w:rsidP="002A7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315</w:t>
            </w:r>
          </w:p>
        </w:tc>
      </w:tr>
      <w:tr w:rsidR="002E1869" w:rsidRPr="00D83627" w:rsidTr="005146F5">
        <w:tc>
          <w:tcPr>
            <w:tcW w:w="3794" w:type="dxa"/>
          </w:tcPr>
          <w:p w:rsidR="002E1869" w:rsidRPr="00D83627" w:rsidRDefault="002E1869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985" w:type="dxa"/>
          </w:tcPr>
          <w:p w:rsidR="002E1869" w:rsidRPr="00D83627" w:rsidRDefault="00953579" w:rsidP="00082BA9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082B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E1869" w:rsidRPr="00D83627" w:rsidRDefault="00953579" w:rsidP="002A7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         0,25</w:t>
            </w:r>
          </w:p>
        </w:tc>
        <w:tc>
          <w:tcPr>
            <w:tcW w:w="1843" w:type="dxa"/>
          </w:tcPr>
          <w:p w:rsidR="002E1869" w:rsidRPr="00D83627" w:rsidRDefault="00953579" w:rsidP="00082B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         0,2</w:t>
            </w:r>
            <w:r w:rsidR="00082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ab/>
        <w:t xml:space="preserve">В отчетном году по сравнению с уровнем 2017 г. и 2018 г. востребованность предоставленных льгот </w:t>
      </w:r>
      <w:r w:rsidR="00082BA9">
        <w:rPr>
          <w:rFonts w:ascii="Times New Roman" w:hAnsi="Times New Roman" w:cs="Times New Roman"/>
          <w:sz w:val="28"/>
          <w:szCs w:val="28"/>
        </w:rPr>
        <w:t>увеличилась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Общая сумма предоставленных льгот  за 2019 год составила </w:t>
      </w:r>
      <w:r w:rsidR="00206EEF">
        <w:rPr>
          <w:rFonts w:ascii="Times New Roman" w:hAnsi="Times New Roman" w:cs="Times New Roman"/>
          <w:sz w:val="28"/>
          <w:szCs w:val="28"/>
        </w:rPr>
        <w:t>53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(в 2018 году – </w:t>
      </w:r>
      <w:r w:rsidR="00082BA9">
        <w:rPr>
          <w:rFonts w:ascii="Times New Roman" w:hAnsi="Times New Roman" w:cs="Times New Roman"/>
          <w:sz w:val="28"/>
          <w:szCs w:val="28"/>
        </w:rPr>
        <w:t>45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</w:t>
      </w:r>
      <w:r w:rsidR="00082BA9">
        <w:rPr>
          <w:rFonts w:ascii="Times New Roman" w:hAnsi="Times New Roman" w:cs="Times New Roman"/>
          <w:sz w:val="28"/>
          <w:szCs w:val="28"/>
        </w:rPr>
        <w:t>47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</w:t>
      </w:r>
    </w:p>
    <w:p w:rsidR="002E1869" w:rsidRPr="00D83627" w:rsidRDefault="009C4C7A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за 2019 год –  </w:t>
      </w:r>
      <w:r w:rsidR="00206EEF">
        <w:rPr>
          <w:rFonts w:ascii="Times New Roman" w:hAnsi="Times New Roman" w:cs="Times New Roman"/>
          <w:sz w:val="28"/>
          <w:szCs w:val="28"/>
        </w:rPr>
        <w:t>53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тыс. руб. / </w:t>
      </w:r>
      <w:r w:rsidR="00206EEF">
        <w:rPr>
          <w:rFonts w:ascii="Times New Roman" w:hAnsi="Times New Roman" w:cs="Times New Roman"/>
          <w:sz w:val="28"/>
          <w:szCs w:val="28"/>
        </w:rPr>
        <w:t>88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= 0,</w:t>
      </w:r>
      <w:r w:rsidR="00206EEF">
        <w:rPr>
          <w:rFonts w:ascii="Times New Roman" w:hAnsi="Times New Roman" w:cs="Times New Roman"/>
          <w:sz w:val="28"/>
          <w:szCs w:val="28"/>
        </w:rPr>
        <w:t>6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за 2018 год – </w:t>
      </w:r>
      <w:r w:rsidR="00206EEF">
        <w:rPr>
          <w:rFonts w:ascii="Times New Roman" w:hAnsi="Times New Roman" w:cs="Times New Roman"/>
          <w:sz w:val="28"/>
          <w:szCs w:val="28"/>
        </w:rPr>
        <w:t>45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/ </w:t>
      </w:r>
      <w:r w:rsidR="009C4C7A" w:rsidRPr="00D83627">
        <w:rPr>
          <w:rFonts w:ascii="Times New Roman" w:hAnsi="Times New Roman" w:cs="Times New Roman"/>
          <w:sz w:val="28"/>
          <w:szCs w:val="28"/>
        </w:rPr>
        <w:t>8</w:t>
      </w:r>
      <w:r w:rsidR="00206EEF">
        <w:rPr>
          <w:rFonts w:ascii="Times New Roman" w:hAnsi="Times New Roman" w:cs="Times New Roman"/>
          <w:sz w:val="28"/>
          <w:szCs w:val="28"/>
        </w:rPr>
        <w:t>0</w:t>
      </w:r>
      <w:r w:rsidRPr="00D83627">
        <w:rPr>
          <w:rFonts w:ascii="Times New Roman" w:hAnsi="Times New Roman" w:cs="Times New Roman"/>
          <w:sz w:val="28"/>
          <w:szCs w:val="28"/>
        </w:rPr>
        <w:t xml:space="preserve"> = 0,</w:t>
      </w:r>
      <w:r w:rsidR="00206EEF">
        <w:rPr>
          <w:rFonts w:ascii="Times New Roman" w:hAnsi="Times New Roman" w:cs="Times New Roman"/>
          <w:sz w:val="28"/>
          <w:szCs w:val="28"/>
        </w:rPr>
        <w:t>6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вклада налогового расхода в изменение показателя достижения целей социально-экономической политики 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D83627">
        <w:rPr>
          <w:rFonts w:ascii="Times New Roman" w:hAnsi="Times New Roman" w:cs="Times New Roman"/>
          <w:sz w:val="28"/>
          <w:szCs w:val="28"/>
        </w:rPr>
        <w:t>равна: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 </w:t>
      </w:r>
      <w:proofErr w:type="spellStart"/>
      <w:r w:rsidRPr="00D83627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83627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л</w:t>
      </w:r>
      <w:proofErr w:type="spellEnd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</w:t>
      </w:r>
      <w:proofErr w:type="spellStart"/>
      <w:r w:rsidRPr="00D83627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83627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баз</w:t>
      </w:r>
      <w:proofErr w:type="spellEnd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0</w:t>
      </w:r>
      <w:proofErr w:type="gramStart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06EE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proofErr w:type="gramEnd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- 0,</w:t>
      </w:r>
      <w:r w:rsidR="00206EE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0</w:t>
      </w:r>
      <w:r w:rsidRPr="00D8362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E1869" w:rsidRPr="00D83627" w:rsidRDefault="002E1869" w:rsidP="002A7186">
      <w:pPr>
        <w:pStyle w:val="a4"/>
        <w:numPr>
          <w:ilvl w:val="0"/>
          <w:numId w:val="4"/>
        </w:num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значение показателя «Р» с учетом применения льготы: </w:t>
      </w:r>
    </w:p>
    <w:p w:rsidR="002E1869" w:rsidRPr="00D83627" w:rsidRDefault="002E1869" w:rsidP="002A7186">
      <w:pPr>
        <w:spacing w:after="0" w:line="360" w:lineRule="auto"/>
        <w:ind w:left="345"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D836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 = 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="00206EE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/ 0,</w:t>
      </w:r>
      <w:r w:rsidR="00206EE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1,00 </w:t>
      </w:r>
    </w:p>
    <w:p w:rsidR="002E1869" w:rsidRPr="00D83627" w:rsidRDefault="002E1869" w:rsidP="002A7186">
      <w:pPr>
        <w:spacing w:after="0" w:line="360" w:lineRule="auto"/>
        <w:ind w:left="345"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2)  значение показателя «Р» без учета применения льготы: </w:t>
      </w:r>
    </w:p>
    <w:p w:rsidR="002E1869" w:rsidRPr="00D83627" w:rsidRDefault="002E1869" w:rsidP="002A7186">
      <w:pPr>
        <w:spacing w:after="0" w:line="360" w:lineRule="auto"/>
        <w:ind w:left="345"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362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36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 = 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="00206EE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/0,</w:t>
      </w:r>
      <w:r w:rsidR="00206EE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1,00 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вклада налоговой льготы в изменение значения показателя достижения целей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06EE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равна 0 и не принимает отрицательных значений.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предоставляемые в виде </w:t>
      </w:r>
      <w:r w:rsidR="009C4C7A" w:rsidRPr="00D83627">
        <w:rPr>
          <w:rFonts w:ascii="Times New Roman" w:hAnsi="Times New Roman" w:cs="Times New Roman"/>
          <w:sz w:val="28"/>
          <w:szCs w:val="28"/>
        </w:rPr>
        <w:t>70 %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освобождения от уплаты налога отдельным категориям налогоплательщиков,  относящимся к социально незащищенным группам населения, не носят экономического характера и не оказывают отрицательного влияния по показатели достижения целей социально-экономической политики 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06EE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16B02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связи с тем, что при предоставлении налоговых льгот по земельному налогу социально незащищенным группам населения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16B02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альтернативные механизмы достижения целей отсутствуют, бюджетная эффективность налогового расхода 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</w:t>
      </w:r>
      <w:proofErr w:type="gramStart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j</w:t>
      </w:r>
      <w:proofErr w:type="gramEnd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рассчитывается по формуле: </w:t>
      </w:r>
    </w:p>
    <w:p w:rsidR="002E1869" w:rsidRPr="00D83627" w:rsidRDefault="002E1869" w:rsidP="002A71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= </w:t>
      </w:r>
      <w:proofErr w:type="spellStart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Nj</w:t>
      </w:r>
      <w:proofErr w:type="spellEnd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Nj</w:t>
      </w:r>
      <w:proofErr w:type="spellEnd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="00016B02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16B02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</w:t>
      </w:r>
      <w:proofErr w:type="gramStart"/>
      <w:r w:rsidR="00016B02"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proofErr w:type="gramEnd"/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эффективности  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j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принимает положительное значение и равен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6B02"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налоговый расход  является эффективным.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16B02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F0CAB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2019 году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признано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Pr="00D83627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сельского поселения </w:t>
      </w:r>
      <w:r w:rsidR="00EF0CAB" w:rsidRPr="00EF0CAB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EF0CAB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EF0CAB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бюджета.  </w:t>
      </w: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2019 году по сельскому поселению </w:t>
      </w:r>
      <w:r w:rsidR="00EF0CAB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 Налоговые льготы по данной категории будут анализироваться в последующие 5 лет для определения эффективности.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стимулирующих налоговых расходов сельского поселения </w:t>
      </w:r>
      <w:r w:rsidR="00EF0CAB" w:rsidRPr="00EF0CAB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289" w:rsidRPr="00D83627" w:rsidRDefault="0065128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EF0CAB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29.06.2016 года № </w:t>
      </w:r>
      <w:r w:rsidR="00EF0CAB">
        <w:rPr>
          <w:rFonts w:ascii="Times New Roman" w:hAnsi="Times New Roman" w:cs="Times New Roman"/>
          <w:sz w:val="28"/>
          <w:szCs w:val="28"/>
        </w:rPr>
        <w:t>13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>освобождение от налогообложения специализированных областных некоммерческих организаций. Целью применения данного налогового расхода является создание условий для развития инвестиционной деятельности.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2019 году по сельскому поселению </w:t>
      </w:r>
      <w:r w:rsidR="00EF0CAB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 Налоговые льготы по данной категории будут анализироваться в последующие 5 лет для определения эффективности.</w:t>
      </w: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6B02"/>
    <w:rsid w:val="00082BA9"/>
    <w:rsid w:val="00094476"/>
    <w:rsid w:val="000D77FF"/>
    <w:rsid w:val="00191DC5"/>
    <w:rsid w:val="00206EEF"/>
    <w:rsid w:val="002A7186"/>
    <w:rsid w:val="002E1869"/>
    <w:rsid w:val="002F5228"/>
    <w:rsid w:val="0031394A"/>
    <w:rsid w:val="00372E49"/>
    <w:rsid w:val="003822DB"/>
    <w:rsid w:val="00485C59"/>
    <w:rsid w:val="004D2C1F"/>
    <w:rsid w:val="005A7603"/>
    <w:rsid w:val="005B53CA"/>
    <w:rsid w:val="00636209"/>
    <w:rsid w:val="00646F11"/>
    <w:rsid w:val="00651289"/>
    <w:rsid w:val="00685D5F"/>
    <w:rsid w:val="006B455B"/>
    <w:rsid w:val="006C6045"/>
    <w:rsid w:val="007203C3"/>
    <w:rsid w:val="00844CF2"/>
    <w:rsid w:val="00913F79"/>
    <w:rsid w:val="009201D8"/>
    <w:rsid w:val="00953579"/>
    <w:rsid w:val="009C4C7A"/>
    <w:rsid w:val="00A031FF"/>
    <w:rsid w:val="00A11D6C"/>
    <w:rsid w:val="00B26BF9"/>
    <w:rsid w:val="00B54554"/>
    <w:rsid w:val="00B5479A"/>
    <w:rsid w:val="00C63121"/>
    <w:rsid w:val="00D03314"/>
    <w:rsid w:val="00D61959"/>
    <w:rsid w:val="00D76EDC"/>
    <w:rsid w:val="00D83627"/>
    <w:rsid w:val="00E139E8"/>
    <w:rsid w:val="00EB157D"/>
    <w:rsid w:val="00EF0CAB"/>
    <w:rsid w:val="00F7698D"/>
    <w:rsid w:val="00F83BB1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cp:lastPrinted>2021-06-22T07:02:00Z</cp:lastPrinted>
  <dcterms:created xsi:type="dcterms:W3CDTF">2021-06-23T04:34:00Z</dcterms:created>
  <dcterms:modified xsi:type="dcterms:W3CDTF">2021-06-23T06:22:00Z</dcterms:modified>
</cp:coreProperties>
</file>